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16A12" w14:textId="11FB2970" w:rsidR="006E76A2" w:rsidRPr="008338C3" w:rsidRDefault="006E76A2" w:rsidP="006E76A2">
      <w:pPr>
        <w:tabs>
          <w:tab w:val="left" w:pos="10773"/>
        </w:tabs>
        <w:autoSpaceDN w:val="0"/>
        <w:spacing w:after="0" w:line="360" w:lineRule="auto"/>
        <w:ind w:right="1" w:firstLine="633"/>
        <w:jc w:val="right"/>
      </w:pPr>
      <w:r>
        <w:t xml:space="preserve">Warszawa, </w:t>
      </w:r>
      <w:r w:rsidR="00A86BD9">
        <w:t>5 maja</w:t>
      </w:r>
      <w:r>
        <w:t xml:space="preserve"> 2021</w:t>
      </w:r>
      <w:r w:rsidRPr="008338C3">
        <w:t xml:space="preserve"> r.</w:t>
      </w:r>
    </w:p>
    <w:p w14:paraId="4CEF1DAA" w14:textId="77777777" w:rsidR="006E76A2" w:rsidRPr="008338C3" w:rsidRDefault="006E76A2" w:rsidP="006E76A2">
      <w:pPr>
        <w:tabs>
          <w:tab w:val="left" w:pos="10773"/>
        </w:tabs>
        <w:autoSpaceDN w:val="0"/>
        <w:spacing w:after="0" w:line="360" w:lineRule="auto"/>
        <w:ind w:right="1" w:firstLine="633"/>
        <w:jc w:val="both"/>
        <w:rPr>
          <w:b/>
        </w:rPr>
      </w:pPr>
    </w:p>
    <w:p w14:paraId="0C51D69B" w14:textId="04E25A46" w:rsidR="006E76A2" w:rsidRPr="00293214" w:rsidRDefault="006E76A2" w:rsidP="006E76A2">
      <w:pPr>
        <w:tabs>
          <w:tab w:val="left" w:pos="10773"/>
        </w:tabs>
        <w:autoSpaceDN w:val="0"/>
        <w:spacing w:after="0" w:line="360" w:lineRule="auto"/>
        <w:jc w:val="center"/>
        <w:rPr>
          <w:b/>
          <w:sz w:val="28"/>
          <w:szCs w:val="28"/>
        </w:rPr>
      </w:pPr>
      <w:r w:rsidRPr="00293214">
        <w:rPr>
          <w:b/>
          <w:sz w:val="28"/>
          <w:szCs w:val="28"/>
        </w:rPr>
        <w:t>Raport z konsultacji publicznych</w:t>
      </w:r>
      <w:r w:rsidR="00D7569E">
        <w:rPr>
          <w:b/>
          <w:sz w:val="28"/>
          <w:szCs w:val="28"/>
        </w:rPr>
        <w:t xml:space="preserve"> </w:t>
      </w:r>
      <w:r w:rsidR="00AE76D2">
        <w:rPr>
          <w:b/>
          <w:sz w:val="28"/>
          <w:szCs w:val="28"/>
        </w:rPr>
        <w:t xml:space="preserve">dot. </w:t>
      </w:r>
      <w:r w:rsidR="00D7569E">
        <w:rPr>
          <w:b/>
          <w:sz w:val="28"/>
          <w:szCs w:val="28"/>
        </w:rPr>
        <w:t>A 392</w:t>
      </w:r>
    </w:p>
    <w:p w14:paraId="0F1D9EC1" w14:textId="77777777" w:rsidR="006E76A2" w:rsidRPr="00293214" w:rsidRDefault="006E76A2" w:rsidP="00AE76D2">
      <w:pPr>
        <w:tabs>
          <w:tab w:val="left" w:pos="10773"/>
        </w:tabs>
        <w:spacing w:after="0" w:line="360" w:lineRule="auto"/>
        <w:rPr>
          <w:sz w:val="28"/>
          <w:szCs w:val="28"/>
        </w:rPr>
      </w:pPr>
    </w:p>
    <w:p w14:paraId="4447A917" w14:textId="1B29D588" w:rsidR="006E76A2" w:rsidRPr="00876E43" w:rsidRDefault="006E76A2" w:rsidP="007E600E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876E43">
        <w:t xml:space="preserve">W ramach opinii i konsultacji publicznych projekt został skierowany </w:t>
      </w:r>
      <w:r w:rsidR="00AE76D2">
        <w:br/>
      </w:r>
      <w:r w:rsidRPr="00876E43">
        <w:t>do</w:t>
      </w:r>
      <w:r w:rsidR="006C1561">
        <w:t>:</w:t>
      </w:r>
      <w:r w:rsidRPr="00876E43">
        <w:t xml:space="preserve"> </w:t>
      </w:r>
      <w:r w:rsidR="006C1561">
        <w:t>Stowarzyszenia Sędziów Polskich IUSTITIA, Stowarzyszenia Sędziów THEMIS, Stowarzyszenia Sędziów Rodzinnych w Polsce, Stowarzyszenia Sędziów Rodzinnych „Pro Familia”, Stowarzyszenia Prokuratorów Rzeczypospolitej Polskiej, Niezależnego Stowarzyszenia Prokuratorów „Ad Vocem”, Stowarzyszenia Prokuratorów „Lex super omnia”, Stowarzyszenia Referendarzy Sądowych LEX JUSTA</w:t>
      </w:r>
      <w:r w:rsidR="00A00922">
        <w:t xml:space="preserve">, </w:t>
      </w:r>
      <w:r w:rsidR="006C1561">
        <w:t>Stowarzyszeni</w:t>
      </w:r>
      <w:r w:rsidR="00A00922">
        <w:t>a</w:t>
      </w:r>
      <w:r w:rsidR="006C1561">
        <w:t xml:space="preserve"> Referendarzy Sądowych Rzeczypospolitej Polskiej</w:t>
      </w:r>
      <w:r w:rsidR="00A00922">
        <w:t>,</w:t>
      </w:r>
      <w:r w:rsidR="006C1561">
        <w:t xml:space="preserve"> Fundacj</w:t>
      </w:r>
      <w:r w:rsidR="00A00922">
        <w:t>i</w:t>
      </w:r>
      <w:r w:rsidR="006C1561">
        <w:t xml:space="preserve"> Polskie Towarzystwo Prawnicze OPUS IURIS,</w:t>
      </w:r>
      <w:r w:rsidR="00A00922">
        <w:t xml:space="preserve"> </w:t>
      </w:r>
      <w:r w:rsidR="006C1561">
        <w:t>Porozumieni</w:t>
      </w:r>
      <w:r w:rsidR="00A00922">
        <w:t>a</w:t>
      </w:r>
      <w:r w:rsidR="006C1561">
        <w:t xml:space="preserve"> samorządów zawodowych i stowarzyszeń prawniczych,</w:t>
      </w:r>
      <w:r w:rsidR="00A00922">
        <w:t xml:space="preserve"> </w:t>
      </w:r>
      <w:r w:rsidR="006C1561">
        <w:t>Krajowej Rady Związku Zawodowego Pracowników Wymiaru</w:t>
      </w:r>
      <w:r w:rsidR="00A00922">
        <w:t xml:space="preserve"> </w:t>
      </w:r>
      <w:r w:rsidR="006C1561">
        <w:t>Sprawiedliwości Rzeczypospolitej Polskiej, Niezależnego Samorządnego Związku Zawodowego Pracowników</w:t>
      </w:r>
      <w:r w:rsidR="00A00922">
        <w:t xml:space="preserve"> </w:t>
      </w:r>
      <w:r w:rsidR="006C1561">
        <w:t>Wymiaru Sprawiedliwości Rzeczypospolitej Polskiej,</w:t>
      </w:r>
      <w:r w:rsidR="00A00922">
        <w:t xml:space="preserve"> </w:t>
      </w:r>
      <w:r w:rsidR="006C1561">
        <w:t>Międzyzakładowej Organizacji Związkowej Niezależnego</w:t>
      </w:r>
      <w:r w:rsidR="00A00922">
        <w:t xml:space="preserve"> </w:t>
      </w:r>
      <w:r w:rsidR="006C1561">
        <w:t>Samorządnego Związku Zawodowego „Solidarność” Pracowników Sądownictwa,</w:t>
      </w:r>
      <w:r w:rsidR="00A00922">
        <w:t xml:space="preserve"> </w:t>
      </w:r>
      <w:r w:rsidR="006C1561">
        <w:t>Prezydium Rady Głównej Związku Zawodowego Prokuratorów i</w:t>
      </w:r>
      <w:r w:rsidR="00A00922">
        <w:t xml:space="preserve"> </w:t>
      </w:r>
      <w:r w:rsidR="006C1561">
        <w:t>Pracowników Prokuratury Rzeczypospolitej Polskiej</w:t>
      </w:r>
      <w:r w:rsidR="00A00922">
        <w:t xml:space="preserve">, </w:t>
      </w:r>
      <w:r w:rsidR="006C1561">
        <w:t>Krajowej Rady Kuratorów,</w:t>
      </w:r>
      <w:r w:rsidR="00A00922">
        <w:t xml:space="preserve"> </w:t>
      </w:r>
      <w:r w:rsidR="006C1561">
        <w:t>Naczelnej Rady Adwokackiej,</w:t>
      </w:r>
      <w:r w:rsidR="00A00922">
        <w:t xml:space="preserve"> </w:t>
      </w:r>
      <w:r w:rsidR="006C1561">
        <w:t>Krajowej Rady Radców Prawnych.</w:t>
      </w:r>
      <w:r w:rsidRPr="00876E43">
        <w:rPr>
          <w:rFonts w:eastAsiaTheme="minorHAnsi"/>
          <w:lang w:eastAsia="en-US"/>
        </w:rPr>
        <w:t>,</w:t>
      </w:r>
      <w:r w:rsidR="00A00922">
        <w:rPr>
          <w:rFonts w:eastAsiaTheme="minorHAnsi"/>
          <w:lang w:eastAsia="en-US"/>
        </w:rPr>
        <w:t xml:space="preserve"> </w:t>
      </w:r>
      <w:r w:rsidRPr="006E76A2">
        <w:rPr>
          <w:rFonts w:eastAsiaTheme="minorHAnsi"/>
          <w:lang w:eastAsia="en-US"/>
        </w:rPr>
        <w:t>Krajow</w:t>
      </w:r>
      <w:r w:rsidR="00020FC4">
        <w:rPr>
          <w:rFonts w:eastAsiaTheme="minorHAnsi"/>
          <w:lang w:eastAsia="en-US"/>
        </w:rPr>
        <w:t>ej</w:t>
      </w:r>
      <w:r w:rsidRPr="006E76A2">
        <w:rPr>
          <w:rFonts w:eastAsiaTheme="minorHAnsi"/>
          <w:lang w:eastAsia="en-US"/>
        </w:rPr>
        <w:t xml:space="preserve"> Rada Sądownictwa</w:t>
      </w:r>
      <w:r w:rsidR="0081353E" w:rsidRPr="00876E43">
        <w:rPr>
          <w:rFonts w:eastAsiaTheme="minorHAnsi"/>
          <w:lang w:eastAsia="en-US"/>
        </w:rPr>
        <w:t xml:space="preserve">, </w:t>
      </w:r>
      <w:r w:rsidR="005D7F00">
        <w:rPr>
          <w:rFonts w:eastAsiaTheme="minorHAnsi"/>
          <w:lang w:eastAsia="en-US"/>
        </w:rPr>
        <w:t>Prezes Urzędu Ochrony</w:t>
      </w:r>
      <w:r w:rsidR="00D7569E">
        <w:rPr>
          <w:rFonts w:eastAsiaTheme="minorHAnsi"/>
          <w:lang w:eastAsia="en-US"/>
        </w:rPr>
        <w:t xml:space="preserve"> D</w:t>
      </w:r>
      <w:r w:rsidR="005D7F00">
        <w:rPr>
          <w:rFonts w:eastAsiaTheme="minorHAnsi"/>
          <w:lang w:eastAsia="en-US"/>
        </w:rPr>
        <w:t>anych Osobowych</w:t>
      </w:r>
      <w:r w:rsidR="0081353E" w:rsidRPr="00876E43">
        <w:rPr>
          <w:rFonts w:eastAsiaTheme="minorHAnsi"/>
          <w:lang w:eastAsia="en-US"/>
        </w:rPr>
        <w:t xml:space="preserve">, </w:t>
      </w:r>
      <w:r w:rsidRPr="006E76A2">
        <w:rPr>
          <w:rFonts w:eastAsiaTheme="minorHAnsi"/>
          <w:lang w:eastAsia="en-US"/>
        </w:rPr>
        <w:t>Sąd</w:t>
      </w:r>
      <w:r w:rsidR="00020FC4">
        <w:rPr>
          <w:rFonts w:eastAsiaTheme="minorHAnsi"/>
          <w:lang w:eastAsia="en-US"/>
        </w:rPr>
        <w:t>ów</w:t>
      </w:r>
      <w:r w:rsidRPr="006E76A2">
        <w:rPr>
          <w:rFonts w:eastAsiaTheme="minorHAnsi"/>
          <w:lang w:eastAsia="en-US"/>
        </w:rPr>
        <w:t xml:space="preserve"> Apelacyjn</w:t>
      </w:r>
      <w:r w:rsidR="00020FC4">
        <w:rPr>
          <w:rFonts w:eastAsiaTheme="minorHAnsi"/>
          <w:lang w:eastAsia="en-US"/>
        </w:rPr>
        <w:t>ych</w:t>
      </w:r>
      <w:r w:rsidR="0081353E" w:rsidRPr="00876E43">
        <w:rPr>
          <w:rFonts w:eastAsiaTheme="minorHAnsi"/>
          <w:lang w:eastAsia="en-US"/>
        </w:rPr>
        <w:t xml:space="preserve"> oraz </w:t>
      </w:r>
      <w:r w:rsidR="00020FC4">
        <w:rPr>
          <w:rFonts w:eastAsiaTheme="minorHAnsi"/>
          <w:lang w:eastAsia="en-US"/>
        </w:rPr>
        <w:t xml:space="preserve">do </w:t>
      </w:r>
      <w:r w:rsidRPr="00876E43">
        <w:rPr>
          <w:rFonts w:eastAsiaTheme="minorHAnsi"/>
          <w:lang w:eastAsia="en-US"/>
        </w:rPr>
        <w:t>Sąd</w:t>
      </w:r>
      <w:r w:rsidR="00020FC4">
        <w:rPr>
          <w:rFonts w:eastAsiaTheme="minorHAnsi"/>
          <w:lang w:eastAsia="en-US"/>
        </w:rPr>
        <w:t>u</w:t>
      </w:r>
      <w:r w:rsidRPr="00876E43">
        <w:rPr>
          <w:rFonts w:eastAsiaTheme="minorHAnsi"/>
          <w:lang w:eastAsia="en-US"/>
        </w:rPr>
        <w:t xml:space="preserve"> Najwyższ</w:t>
      </w:r>
      <w:r w:rsidR="00020FC4">
        <w:rPr>
          <w:rFonts w:eastAsiaTheme="minorHAnsi"/>
          <w:lang w:eastAsia="en-US"/>
        </w:rPr>
        <w:t>ego</w:t>
      </w:r>
    </w:p>
    <w:p w14:paraId="0C2EA236" w14:textId="0300A8CC" w:rsidR="006E76A2" w:rsidRDefault="006E76A2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  <w:r w:rsidRPr="00876E43">
        <w:rPr>
          <w:spacing w:val="-2"/>
        </w:rPr>
        <w:t xml:space="preserve">Termin przedstawienia stanowiska lub opinii zakreślono </w:t>
      </w:r>
      <w:r w:rsidR="005D7F00">
        <w:rPr>
          <w:spacing w:val="-2"/>
        </w:rPr>
        <w:t xml:space="preserve">na 7 dni od otrzymania </w:t>
      </w:r>
      <w:r w:rsidR="00033174">
        <w:rPr>
          <w:spacing w:val="-2"/>
        </w:rPr>
        <w:t>korespondencji</w:t>
      </w:r>
      <w:r w:rsidRPr="00876E43">
        <w:rPr>
          <w:spacing w:val="-2"/>
        </w:rPr>
        <w:t>.</w:t>
      </w:r>
    </w:p>
    <w:p w14:paraId="52D5686E" w14:textId="3669BEDC" w:rsidR="00AE76D2" w:rsidRDefault="00D7569E" w:rsidP="00AE76D2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  <w:r>
        <w:rPr>
          <w:b/>
          <w:bCs/>
          <w:spacing w:val="-2"/>
        </w:rPr>
        <w:t>Prezes Urzędu Ochrony Danych Osobowych</w:t>
      </w:r>
      <w:r>
        <w:rPr>
          <w:spacing w:val="-2"/>
        </w:rPr>
        <w:t xml:space="preserve"> </w:t>
      </w:r>
      <w:r w:rsidR="00622177">
        <w:rPr>
          <w:spacing w:val="-2"/>
        </w:rPr>
        <w:t>wskazał, że p</w:t>
      </w:r>
      <w:r w:rsidRPr="00D7569E">
        <w:rPr>
          <w:spacing w:val="-2"/>
        </w:rPr>
        <w:t>rojektowane rozporządzenie stanowi wykonanie delegacji ustawowej zawartej w art. 300</w:t>
      </w:r>
      <w:r w:rsidRPr="00E6747D">
        <w:rPr>
          <w:spacing w:val="-2"/>
          <w:vertAlign w:val="superscript"/>
        </w:rPr>
        <w:t>7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>§ 5 ustawy z dnia 15 września 2000 r. – Kodeks spółek handlowych (Dz. U. z 2020 r. poz. 1526 i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 xml:space="preserve">2320), i przewiduje - zgodnie </w:t>
      </w:r>
      <w:r w:rsidR="00AE76D2">
        <w:rPr>
          <w:spacing w:val="-2"/>
        </w:rPr>
        <w:br/>
      </w:r>
      <w:r w:rsidRPr="00D7569E">
        <w:rPr>
          <w:spacing w:val="-2"/>
        </w:rPr>
        <w:t>z § 16 projektu – że po podpisaniu dokumentu sporządzonego przy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 xml:space="preserve">wykorzystaniu wzorca, </w:t>
      </w:r>
      <w:r w:rsidR="00AE76D2">
        <w:rPr>
          <w:spacing w:val="-2"/>
        </w:rPr>
        <w:br/>
      </w:r>
      <w:r w:rsidRPr="00D7569E">
        <w:rPr>
          <w:spacing w:val="-2"/>
        </w:rPr>
        <w:t>w dokumencie pochodzącym z systemu teleinformatycznego umieszczana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 xml:space="preserve">jest informacja </w:t>
      </w:r>
      <w:r w:rsidR="00AE76D2">
        <w:rPr>
          <w:spacing w:val="-2"/>
        </w:rPr>
        <w:br/>
      </w:r>
      <w:r w:rsidRPr="00D7569E">
        <w:rPr>
          <w:spacing w:val="-2"/>
        </w:rPr>
        <w:t>o osobie podpisującej wraz z oznaczeniem rodzaju podpisu.</w:t>
      </w:r>
      <w:r w:rsidR="00E6747D">
        <w:rPr>
          <w:spacing w:val="-2"/>
        </w:rPr>
        <w:t xml:space="preserve"> </w:t>
      </w:r>
      <w:r w:rsidR="007E600E">
        <w:rPr>
          <w:spacing w:val="-2"/>
        </w:rPr>
        <w:t xml:space="preserve">Prezes UODO </w:t>
      </w:r>
      <w:r w:rsidRPr="00D7569E">
        <w:rPr>
          <w:spacing w:val="-2"/>
        </w:rPr>
        <w:t>wskaza</w:t>
      </w:r>
      <w:r w:rsidR="007E600E">
        <w:rPr>
          <w:spacing w:val="-2"/>
        </w:rPr>
        <w:t>ł, że z</w:t>
      </w:r>
      <w:r w:rsidRPr="00D7569E">
        <w:rPr>
          <w:spacing w:val="-2"/>
        </w:rPr>
        <w:t xml:space="preserve"> przepisu nie wynika jednak jakie informacje o osobie podpisującej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>umieszcza się w dokumencie</w:t>
      </w:r>
      <w:r w:rsidR="00AE76D2">
        <w:rPr>
          <w:spacing w:val="-2"/>
        </w:rPr>
        <w:t>,</w:t>
      </w:r>
      <w:r w:rsidRPr="00D7569E">
        <w:rPr>
          <w:spacing w:val="-2"/>
        </w:rPr>
        <w:t xml:space="preserve"> a co za tym idzie jego konstrukcja nie odpowiada zasadzie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>przejrzystości wynikającej z art. 5 ust. 1 lit. a rozporządzenia 2016/6792.</w:t>
      </w:r>
      <w:r w:rsidR="00E6747D">
        <w:rPr>
          <w:spacing w:val="-2"/>
        </w:rPr>
        <w:t xml:space="preserve"> </w:t>
      </w:r>
      <w:r w:rsidR="007E600E">
        <w:rPr>
          <w:spacing w:val="-2"/>
        </w:rPr>
        <w:t>Prezes UODO</w:t>
      </w:r>
      <w:r w:rsidRPr="00D7569E">
        <w:rPr>
          <w:spacing w:val="-2"/>
        </w:rPr>
        <w:t xml:space="preserve"> </w:t>
      </w:r>
      <w:r w:rsidR="00FB1489" w:rsidRPr="00D7569E">
        <w:rPr>
          <w:spacing w:val="-2"/>
        </w:rPr>
        <w:t>przypomi</w:t>
      </w:r>
      <w:r w:rsidR="00FB1489">
        <w:rPr>
          <w:spacing w:val="-2"/>
        </w:rPr>
        <w:t>nał</w:t>
      </w:r>
      <w:r w:rsidR="007E600E">
        <w:rPr>
          <w:spacing w:val="-2"/>
        </w:rPr>
        <w:t>,</w:t>
      </w:r>
      <w:r w:rsidRPr="00D7569E">
        <w:rPr>
          <w:spacing w:val="-2"/>
        </w:rPr>
        <w:t xml:space="preserve"> że zgodnie z zasadą minimalizacji danych określoną w art.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 xml:space="preserve">5 ust. 1 lit. c rozporządzenia 2016/6793 dane osobowe przetwarzane </w:t>
      </w:r>
      <w:r w:rsidR="00AE76D2">
        <w:rPr>
          <w:spacing w:val="-2"/>
        </w:rPr>
        <w:br/>
      </w:r>
      <w:r w:rsidRPr="00D7569E">
        <w:rPr>
          <w:spacing w:val="-2"/>
        </w:rPr>
        <w:t>w przedmiotowych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 xml:space="preserve">dokumentach powinny być adekwatne, stosowne oraz ograniczone do tego, </w:t>
      </w:r>
      <w:r w:rsidRPr="00D7569E">
        <w:rPr>
          <w:spacing w:val="-2"/>
        </w:rPr>
        <w:lastRenderedPageBreak/>
        <w:t>co niezbędne do celów,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 xml:space="preserve">w których są przetwarzane. </w:t>
      </w:r>
      <w:r w:rsidR="007E600E">
        <w:rPr>
          <w:spacing w:val="-2"/>
        </w:rPr>
        <w:t>Ponadto Prezes UODO przypomniał</w:t>
      </w:r>
      <w:r w:rsidRPr="00D7569E">
        <w:rPr>
          <w:spacing w:val="-2"/>
        </w:rPr>
        <w:t xml:space="preserve">, </w:t>
      </w:r>
      <w:r w:rsidR="00AE76D2">
        <w:rPr>
          <w:spacing w:val="-2"/>
        </w:rPr>
        <w:br/>
      </w:r>
      <w:r w:rsidRPr="00D7569E">
        <w:rPr>
          <w:spacing w:val="-2"/>
        </w:rPr>
        <w:t>że zgodnie z zasadą ograniczenia celu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>wskazaną w art. 5 ust. 1 lit. b rozporządzenia 2016/6794 dane osobowe muszą być zbierane w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 xml:space="preserve">konkretnych, wyraźnych i prawnie uzasadnionych celach </w:t>
      </w:r>
      <w:r w:rsidR="00AE76D2">
        <w:rPr>
          <w:spacing w:val="-2"/>
        </w:rPr>
        <w:br/>
      </w:r>
      <w:r w:rsidRPr="00D7569E">
        <w:rPr>
          <w:spacing w:val="-2"/>
        </w:rPr>
        <w:t>i nieprzetwarzane dalej w sposób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 xml:space="preserve">niezgodny z tymi celami. W tym kontekście, </w:t>
      </w:r>
      <w:r w:rsidR="007E600E">
        <w:rPr>
          <w:spacing w:val="-2"/>
        </w:rPr>
        <w:t xml:space="preserve">Prezes UODO </w:t>
      </w:r>
      <w:r w:rsidRPr="00D7569E">
        <w:rPr>
          <w:spacing w:val="-2"/>
        </w:rPr>
        <w:t>wskaza</w:t>
      </w:r>
      <w:r w:rsidR="007E600E">
        <w:rPr>
          <w:spacing w:val="-2"/>
        </w:rPr>
        <w:t>ł</w:t>
      </w:r>
      <w:r w:rsidRPr="00D7569E">
        <w:rPr>
          <w:spacing w:val="-2"/>
        </w:rPr>
        <w:t>, że ewentualne zawarcie w podpisie</w:t>
      </w:r>
      <w:r w:rsidR="007E600E">
        <w:rPr>
          <w:spacing w:val="-2"/>
        </w:rPr>
        <w:t xml:space="preserve"> </w:t>
      </w:r>
      <w:r w:rsidRPr="00D7569E">
        <w:rPr>
          <w:spacing w:val="-2"/>
        </w:rPr>
        <w:t>dokumentu numeru PESEL może powodować wątpliwości co do niezbędności przetwarzania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>ponieważ dana ta jako krajowy numer identyfikacyjny ma podlegać szczególnej ochronie, zgodnie</w:t>
      </w:r>
      <w:r w:rsidR="00E6747D">
        <w:rPr>
          <w:spacing w:val="-2"/>
        </w:rPr>
        <w:t xml:space="preserve"> </w:t>
      </w:r>
      <w:r w:rsidRPr="00D7569E">
        <w:rPr>
          <w:spacing w:val="-2"/>
        </w:rPr>
        <w:t>z wymogami art. 87 rozporządzenia 2016/679. Przepis ten stanowi, że państwa członkowskie</w:t>
      </w:r>
      <w:r w:rsidR="00622177">
        <w:rPr>
          <w:spacing w:val="-2"/>
        </w:rPr>
        <w:t xml:space="preserve"> </w:t>
      </w:r>
      <w:r w:rsidRPr="00D7569E">
        <w:rPr>
          <w:spacing w:val="-2"/>
        </w:rPr>
        <w:t>mogą określić szczególne warunki przetwarzania krajowego numeru identyfikacyjnego lub innego</w:t>
      </w:r>
      <w:r w:rsidR="00622177">
        <w:rPr>
          <w:spacing w:val="-2"/>
        </w:rPr>
        <w:t xml:space="preserve"> </w:t>
      </w:r>
      <w:r w:rsidRPr="00D7569E">
        <w:rPr>
          <w:spacing w:val="-2"/>
        </w:rPr>
        <w:t>identyfikatora o zasięgu ogólnym. W takim przypadku krajowego numeru identyfikacyjnego lub</w:t>
      </w:r>
      <w:r w:rsidR="00622177">
        <w:rPr>
          <w:spacing w:val="-2"/>
        </w:rPr>
        <w:t xml:space="preserve"> </w:t>
      </w:r>
      <w:r w:rsidRPr="00D7569E">
        <w:rPr>
          <w:spacing w:val="-2"/>
        </w:rPr>
        <w:t xml:space="preserve">innego identyfikatora </w:t>
      </w:r>
      <w:r w:rsidR="00AE76D2">
        <w:rPr>
          <w:spacing w:val="-2"/>
        </w:rPr>
        <w:br/>
      </w:r>
      <w:r w:rsidRPr="00D7569E">
        <w:rPr>
          <w:spacing w:val="-2"/>
        </w:rPr>
        <w:t>o zasięgu ogólnym używa się wyłącznie z zachowaniem odpowiednich</w:t>
      </w:r>
      <w:r w:rsidR="00622177">
        <w:rPr>
          <w:spacing w:val="-2"/>
        </w:rPr>
        <w:t xml:space="preserve"> </w:t>
      </w:r>
      <w:r w:rsidRPr="00D7569E">
        <w:rPr>
          <w:spacing w:val="-2"/>
        </w:rPr>
        <w:t xml:space="preserve">zabezpieczeń praw </w:t>
      </w:r>
      <w:r w:rsidR="00AE76D2">
        <w:rPr>
          <w:spacing w:val="-2"/>
        </w:rPr>
        <w:br/>
      </w:r>
      <w:r w:rsidRPr="00D7569E">
        <w:rPr>
          <w:spacing w:val="-2"/>
        </w:rPr>
        <w:t>i wolności osoby, której dane dotyczą, które przewiduje niniejsze</w:t>
      </w:r>
      <w:r w:rsidR="00622177">
        <w:rPr>
          <w:spacing w:val="-2"/>
        </w:rPr>
        <w:t xml:space="preserve"> </w:t>
      </w:r>
      <w:r w:rsidRPr="00D7569E">
        <w:rPr>
          <w:spacing w:val="-2"/>
        </w:rPr>
        <w:t>rozporządzenie.</w:t>
      </w:r>
      <w:r w:rsidR="00622177">
        <w:t xml:space="preserve"> </w:t>
      </w:r>
      <w:r w:rsidR="00622177" w:rsidRPr="00622177">
        <w:rPr>
          <w:spacing w:val="-2"/>
        </w:rPr>
        <w:t xml:space="preserve">Prezes </w:t>
      </w:r>
      <w:r w:rsidR="00AE76D2">
        <w:rPr>
          <w:spacing w:val="-2"/>
        </w:rPr>
        <w:t>UODO</w:t>
      </w:r>
      <w:r w:rsidR="00622177" w:rsidRPr="00622177">
        <w:rPr>
          <w:spacing w:val="-2"/>
        </w:rPr>
        <w:t xml:space="preserve"> wn</w:t>
      </w:r>
      <w:r w:rsidR="00622177">
        <w:rPr>
          <w:spacing w:val="-2"/>
        </w:rPr>
        <w:t>iósł</w:t>
      </w:r>
      <w:r w:rsidR="00622177" w:rsidRPr="00622177">
        <w:rPr>
          <w:spacing w:val="-2"/>
        </w:rPr>
        <w:t xml:space="preserve"> o zmianę § 16 projektu poprzez</w:t>
      </w:r>
      <w:r w:rsidR="00622177">
        <w:rPr>
          <w:spacing w:val="-2"/>
        </w:rPr>
        <w:t xml:space="preserve"> </w:t>
      </w:r>
      <w:r w:rsidR="00622177" w:rsidRPr="00622177">
        <w:rPr>
          <w:spacing w:val="-2"/>
        </w:rPr>
        <w:t>określenie jakie konkretnie dane osobowe osoby podpisującej umieszcza się w dokumencie tak by</w:t>
      </w:r>
      <w:r w:rsidR="00622177">
        <w:t xml:space="preserve"> </w:t>
      </w:r>
      <w:r w:rsidR="00622177" w:rsidRPr="00622177">
        <w:rPr>
          <w:spacing w:val="-2"/>
        </w:rPr>
        <w:t>dane te były adekwatne, stosowne oraz ograniczone do tego, co niezbędne do celu, w którym są</w:t>
      </w:r>
      <w:r w:rsidR="00622177">
        <w:t xml:space="preserve"> </w:t>
      </w:r>
      <w:r w:rsidR="00622177" w:rsidRPr="00622177">
        <w:rPr>
          <w:spacing w:val="-2"/>
        </w:rPr>
        <w:t>przetwarzane, a także nie naruszały zasady ograniczenia celu wskazanej w art. 5 ust. 1 lit. b</w:t>
      </w:r>
      <w:r w:rsidR="00622177">
        <w:t xml:space="preserve"> </w:t>
      </w:r>
      <w:r w:rsidR="00622177" w:rsidRPr="00622177">
        <w:rPr>
          <w:spacing w:val="-2"/>
        </w:rPr>
        <w:t>rozporządzenia 2016/679.</w:t>
      </w:r>
    </w:p>
    <w:p w14:paraId="0C389A81" w14:textId="0538D8C9" w:rsidR="00622177" w:rsidRPr="00622177" w:rsidRDefault="00622177" w:rsidP="00AE76D2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  <w:r>
        <w:rPr>
          <w:spacing w:val="-2"/>
        </w:rPr>
        <w:t>W odpowiedzi na powyższe wystosowano odpowied</w:t>
      </w:r>
      <w:r w:rsidR="00431B34">
        <w:rPr>
          <w:spacing w:val="-2"/>
        </w:rPr>
        <w:t>ź</w:t>
      </w:r>
      <w:r>
        <w:rPr>
          <w:spacing w:val="-2"/>
        </w:rPr>
        <w:t xml:space="preserve"> w której wskazano, </w:t>
      </w:r>
      <w:r w:rsidR="00AE76D2">
        <w:rPr>
          <w:spacing w:val="-2"/>
        </w:rPr>
        <w:br/>
      </w:r>
      <w:r>
        <w:rPr>
          <w:spacing w:val="-2"/>
        </w:rPr>
        <w:t xml:space="preserve">że </w:t>
      </w:r>
      <w:r w:rsidR="00AE76D2">
        <w:rPr>
          <w:spacing w:val="-2"/>
        </w:rPr>
        <w:t>z</w:t>
      </w:r>
      <w:r w:rsidRPr="00622177">
        <w:rPr>
          <w:spacing w:val="-2"/>
        </w:rPr>
        <w:t xml:space="preserve"> informacji</w:t>
      </w:r>
      <w:r>
        <w:rPr>
          <w:spacing w:val="-2"/>
        </w:rPr>
        <w:t xml:space="preserve"> </w:t>
      </w:r>
      <w:r w:rsidRPr="00622177">
        <w:rPr>
          <w:spacing w:val="-2"/>
        </w:rPr>
        <w:t>uzyskanych od jednostki organizacyjnej Ministerstwa Sprawiedliwości</w:t>
      </w:r>
      <w:r>
        <w:rPr>
          <w:spacing w:val="-2"/>
        </w:rPr>
        <w:t xml:space="preserve"> </w:t>
      </w:r>
      <w:r w:rsidRPr="00622177">
        <w:rPr>
          <w:spacing w:val="-2"/>
        </w:rPr>
        <w:t>odpowiedzialnej za wdrożenie systemu teleinformatycznego obsługującego procedurę</w:t>
      </w:r>
      <w:r>
        <w:rPr>
          <w:spacing w:val="-2"/>
        </w:rPr>
        <w:t xml:space="preserve"> </w:t>
      </w:r>
      <w:r w:rsidRPr="00622177">
        <w:rPr>
          <w:spacing w:val="-2"/>
        </w:rPr>
        <w:t>zawarci</w:t>
      </w:r>
      <w:r w:rsidR="000F2B1A">
        <w:rPr>
          <w:spacing w:val="-2"/>
        </w:rPr>
        <w:t>a</w:t>
      </w:r>
      <w:r w:rsidRPr="00622177">
        <w:rPr>
          <w:spacing w:val="-2"/>
        </w:rPr>
        <w:t xml:space="preserve"> umowy prostej spółki akcyjnej przy wykorzystaniu wzorca umowy udostępnianego</w:t>
      </w:r>
      <w:r>
        <w:rPr>
          <w:spacing w:val="-2"/>
        </w:rPr>
        <w:t xml:space="preserve"> </w:t>
      </w:r>
      <w:r w:rsidRPr="00622177">
        <w:rPr>
          <w:spacing w:val="-2"/>
        </w:rPr>
        <w:t>w systemie teleinformatycznym wynika, że jedyne informacje o osobie podpisującej jakie</w:t>
      </w:r>
      <w:r>
        <w:rPr>
          <w:spacing w:val="-2"/>
        </w:rPr>
        <w:t xml:space="preserve"> </w:t>
      </w:r>
      <w:r w:rsidRPr="00622177">
        <w:rPr>
          <w:spacing w:val="-2"/>
        </w:rPr>
        <w:t>będą umieszczone w dokumencie to: imię i nazwisko, jej numer PESEL (jeżeli go posiada)</w:t>
      </w:r>
      <w:r>
        <w:rPr>
          <w:spacing w:val="-2"/>
        </w:rPr>
        <w:t xml:space="preserve"> </w:t>
      </w:r>
      <w:r w:rsidRPr="00622177">
        <w:rPr>
          <w:spacing w:val="-2"/>
        </w:rPr>
        <w:t>oraz adres. W przypadku imienia i nazwiska oraz adresu, jak i numeru PESEL - takie dane</w:t>
      </w:r>
      <w:r>
        <w:rPr>
          <w:spacing w:val="-2"/>
        </w:rPr>
        <w:t xml:space="preserve"> </w:t>
      </w:r>
      <w:r w:rsidRPr="00622177">
        <w:rPr>
          <w:spacing w:val="-2"/>
        </w:rPr>
        <w:t>stanowią podstawowe cechy indywidualizujące osoby zawierające umowę prostej spółki</w:t>
      </w:r>
      <w:r>
        <w:rPr>
          <w:spacing w:val="-2"/>
        </w:rPr>
        <w:t xml:space="preserve"> </w:t>
      </w:r>
      <w:r w:rsidRPr="00622177">
        <w:rPr>
          <w:spacing w:val="-2"/>
        </w:rPr>
        <w:t>akcyjnej czyli akcjonariuszy i nie powinno się ich kwalifikować jako dane nadmiarowe</w:t>
      </w:r>
      <w:r>
        <w:rPr>
          <w:spacing w:val="-2"/>
        </w:rPr>
        <w:t xml:space="preserve"> </w:t>
      </w:r>
      <w:r w:rsidRPr="00622177">
        <w:rPr>
          <w:spacing w:val="-2"/>
        </w:rPr>
        <w:t>czy zbędne, gdyż ich podanie jest w pełni adekwatne i celowe, a wręcz niezbędne. Zgodnie z</w:t>
      </w:r>
      <w:r w:rsidRPr="00622177">
        <w:t xml:space="preserve"> </w:t>
      </w:r>
      <w:r w:rsidRPr="00622177">
        <w:rPr>
          <w:spacing w:val="-2"/>
        </w:rPr>
        <w:t>art. 300</w:t>
      </w:r>
      <w:r w:rsidRPr="00AE76D2">
        <w:rPr>
          <w:spacing w:val="-2"/>
          <w:vertAlign w:val="superscript"/>
        </w:rPr>
        <w:t>5</w:t>
      </w:r>
      <w:r w:rsidRPr="00622177">
        <w:rPr>
          <w:spacing w:val="-2"/>
        </w:rPr>
        <w:t xml:space="preserve"> § 1 pkt 3 ustawy z dnia 15 września 2000 r. - Kodeks spółek handlowych (Dz. U. z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2020 r. poz. 1526, z późn. zm.), który wejdzie w życie z dniem 1 lipca 2021 r.: Umowa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prostej spółki akcyjnej powinna określać: 3) (…) akcjonariuszy obejmujących poszczególne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akcje (…). Wskazana regulacja kodeksowa wymaga więc, co najmniej poprawnej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identyfikacji osoby fizycznej w oparciu o indywidualne i</w:t>
      </w:r>
      <w:r w:rsidR="00B923AA">
        <w:rPr>
          <w:spacing w:val="-2"/>
        </w:rPr>
        <w:t> </w:t>
      </w:r>
      <w:r w:rsidRPr="00622177">
        <w:rPr>
          <w:spacing w:val="-2"/>
        </w:rPr>
        <w:t>podstawowe cechy: imienia i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nazwiska, numeru PESEL czy dodatkowo adresu. Z kolei art. 35 pkt 1 ustawy z dnia 20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sierpnia 1997 roku o Krajowym Rejestrze Sądowym (Dz. U. z 2018 r.,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poz. 986.) określa obowiązek ujawniania w Krajowym Rejestrze Sądowym numeru PESEL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wpisywanych do tego rejestru osób fizycznych, pełniących określoną funkcję czy role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lastRenderedPageBreak/>
        <w:t>w</w:t>
      </w:r>
      <w:r w:rsidR="00B923AA">
        <w:rPr>
          <w:spacing w:val="-2"/>
        </w:rPr>
        <w:t> </w:t>
      </w:r>
      <w:r w:rsidRPr="00622177">
        <w:rPr>
          <w:spacing w:val="-2"/>
        </w:rPr>
        <w:t>podmiocie wpisanym do Krajowego Rejestru Sądowego. Wskazane przepisy nie naruszają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prawa osoby fizycznej wpisywanej do Rejestru do ochrony jej danych osobowych.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Numer PESEL jest unikalnym numerem nadawanym z urzędu lub na wniosek na zasadach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określonych w ustawie z dnia 24 września 2010 r. o ewidencji ludności (Dz. U. z 2016 r.,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poz. 722). Unikalność tego numeru jest czynnikiem umożliwiającym identyfikację osoby na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etapie wpisu do Rejestru. Zgodnie z art. 23 ust. 1 ustawy o Krajowym Rejestrze Sądowym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sąd rejestrowy bada, czy dane wskazane we wniosku o wpis do Rejestru w zakresie m. in.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numeru PESEL osoby fizycznej są prawdziwe. Oznacza to automatyczną weryfikację danych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zgłoszonych przez wnioskodawcę z</w:t>
      </w:r>
      <w:r w:rsidR="00B923AA">
        <w:rPr>
          <w:spacing w:val="-2"/>
        </w:rPr>
        <w:t> </w:t>
      </w:r>
      <w:r w:rsidRPr="00622177">
        <w:rPr>
          <w:spacing w:val="-2"/>
        </w:rPr>
        <w:t>danymi w bazie PESEL. Numer PESEL umożliwia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dokładną identyfikację osoby i jej odróżnienie od innych osób noszących to samo imię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i nazwisko. Identyfikacja ta służy bezpieczeństwu obrotu oraz jest istotna z punktu widzenia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okoliczności otrzymywania przez dokonujący wpisu sąd rejestrowy z Biura Informacyjnego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Krajowego Rejestru Karnego informacji o skazaniach za określone przestępstwa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oraz o orzeczonych środkach karnych, które to okoliczności w niektórych wypadkach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wyłączają możliwość piastowania przez określoną osobę funkcji w organach podmiotu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wpisywanego do Rejestru. Wyszukiwanie tych informacji opiera się głównie na numerze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PESEL. Dzięki otrzymanym tą metodą informacjom sąd rejestrowy może podjąć stosowne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działanie przeciwdziałające dopuszczeniu do ujawniania w</w:t>
      </w:r>
      <w:r w:rsidR="00B923AA">
        <w:rPr>
          <w:spacing w:val="-2"/>
        </w:rPr>
        <w:t> </w:t>
      </w:r>
      <w:r w:rsidRPr="00622177">
        <w:rPr>
          <w:spacing w:val="-2"/>
        </w:rPr>
        <w:t>Rejestrze osób, które nie mogą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pełnić funkcji w organach podmiotów wpisanych do Rejestru z uwagi na fakt ich skazania bez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zagrożenia, że działania te podjęte zostaną w stosunku do niewłaściwej osoby (z uwagi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na błąd co jej tożsamości).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Mając powyższe na uwadze nie widzę konieczności umieszczenia w § 16 projektu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rozporządzenia konkretnych danych osobowych osoby podpisującej dokumenty</w:t>
      </w:r>
      <w:r w:rsidR="00AA6328">
        <w:rPr>
          <w:spacing w:val="-2"/>
        </w:rPr>
        <w:t xml:space="preserve"> </w:t>
      </w:r>
      <w:r w:rsidRPr="00622177">
        <w:rPr>
          <w:spacing w:val="-2"/>
        </w:rPr>
        <w:t>(w postaci imienia, nazwiska, numeru PESEL, adresu), o co wnioskuje zgłaszający uwagę.</w:t>
      </w:r>
      <w:r w:rsidR="00AA6328" w:rsidRPr="00AA6328">
        <w:t xml:space="preserve"> </w:t>
      </w:r>
      <w:r w:rsidR="00AA6328" w:rsidRPr="00AA6328">
        <w:rPr>
          <w:spacing w:val="-2"/>
        </w:rPr>
        <w:t>Dodatkowo pragnę wskazać, że osoba fizyczna decydująca się na uczestnictwo w osobie</w:t>
      </w:r>
      <w:r w:rsidR="00AA6328">
        <w:rPr>
          <w:spacing w:val="-2"/>
        </w:rPr>
        <w:t xml:space="preserve"> </w:t>
      </w:r>
      <w:r w:rsidR="00AA6328" w:rsidRPr="00AA6328">
        <w:rPr>
          <w:spacing w:val="-2"/>
        </w:rPr>
        <w:t>prawnej czy członkostwo w organie takiej osoby prawnej - wpisanej do Krajowego Rejestru</w:t>
      </w:r>
      <w:r w:rsidR="00AA6328">
        <w:rPr>
          <w:spacing w:val="-2"/>
        </w:rPr>
        <w:t xml:space="preserve"> </w:t>
      </w:r>
      <w:r w:rsidR="00AA6328" w:rsidRPr="00AA6328">
        <w:rPr>
          <w:spacing w:val="-2"/>
        </w:rPr>
        <w:t>Sądowego winna zaakceptować fakt ujawnienia w ogólnodostępnym rejestrze jej danych</w:t>
      </w:r>
      <w:r w:rsidR="00AA6328">
        <w:rPr>
          <w:spacing w:val="-2"/>
        </w:rPr>
        <w:t xml:space="preserve"> </w:t>
      </w:r>
      <w:r w:rsidR="00AA6328" w:rsidRPr="00AA6328">
        <w:rPr>
          <w:spacing w:val="-2"/>
        </w:rPr>
        <w:t>osobowych w zakresie imienia, nazwiska i numeru PESEL, a także indywidualizującego ją</w:t>
      </w:r>
      <w:r w:rsidR="00AA6328">
        <w:rPr>
          <w:spacing w:val="-2"/>
        </w:rPr>
        <w:t xml:space="preserve"> </w:t>
      </w:r>
      <w:r w:rsidR="00AA6328" w:rsidRPr="00AA6328">
        <w:rPr>
          <w:spacing w:val="-2"/>
        </w:rPr>
        <w:t>adresu.</w:t>
      </w:r>
    </w:p>
    <w:p w14:paraId="629CCC9F" w14:textId="6A14E542" w:rsidR="00033174" w:rsidRPr="00876E43" w:rsidRDefault="00033174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  <w:r>
        <w:rPr>
          <w:spacing w:val="-2"/>
        </w:rPr>
        <w:t xml:space="preserve">Żaden z </w:t>
      </w:r>
      <w:r w:rsidR="00D7569E">
        <w:rPr>
          <w:spacing w:val="-2"/>
        </w:rPr>
        <w:t xml:space="preserve">pozostałych </w:t>
      </w:r>
      <w:r>
        <w:rPr>
          <w:spacing w:val="-2"/>
        </w:rPr>
        <w:t>wyżej wymienionych podmiotów nie przedstawił stanowiska ani opinii  lub uwag w zakreślonym terminie.</w:t>
      </w:r>
    </w:p>
    <w:p w14:paraId="7411B6B3" w14:textId="77777777" w:rsidR="006E76A2" w:rsidRPr="00876E43" w:rsidRDefault="006E76A2" w:rsidP="00876E43">
      <w:pPr>
        <w:tabs>
          <w:tab w:val="left" w:pos="10773"/>
        </w:tabs>
        <w:spacing w:after="0" w:line="360" w:lineRule="auto"/>
        <w:ind w:firstLine="709"/>
        <w:jc w:val="both"/>
        <w:rPr>
          <w:spacing w:val="-2"/>
        </w:rPr>
      </w:pPr>
    </w:p>
    <w:p w14:paraId="369BC06C" w14:textId="791B60BD" w:rsidR="00356D28" w:rsidRPr="00356D28" w:rsidRDefault="006C1561" w:rsidP="00356D28">
      <w:pPr>
        <w:pStyle w:val="Style7"/>
        <w:widowControl/>
        <w:spacing w:line="360" w:lineRule="auto"/>
        <w:ind w:right="5" w:firstLine="709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 xml:space="preserve"> </w:t>
      </w:r>
    </w:p>
    <w:p w14:paraId="72A2DC92" w14:textId="77777777" w:rsidR="00356D28" w:rsidRPr="00876E43" w:rsidRDefault="00356D28" w:rsidP="00876E43">
      <w:pPr>
        <w:pStyle w:val="Style14"/>
        <w:widowControl/>
        <w:spacing w:line="360" w:lineRule="auto"/>
        <w:ind w:firstLine="709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6F14DCE5" w14:textId="77777777" w:rsidR="00876E43" w:rsidRPr="00876E43" w:rsidRDefault="00876E43" w:rsidP="00876E43">
      <w:pPr>
        <w:spacing w:after="0" w:line="360" w:lineRule="auto"/>
        <w:ind w:firstLine="709"/>
        <w:jc w:val="both"/>
        <w:rPr>
          <w:rFonts w:eastAsiaTheme="minorHAnsi"/>
        </w:rPr>
      </w:pPr>
    </w:p>
    <w:p w14:paraId="0E6B2771" w14:textId="77777777" w:rsidR="00876E43" w:rsidRPr="00876E43" w:rsidRDefault="00876E43">
      <w:pPr>
        <w:spacing w:after="0" w:line="360" w:lineRule="auto"/>
        <w:ind w:firstLine="709"/>
        <w:jc w:val="both"/>
        <w:rPr>
          <w:rFonts w:eastAsiaTheme="minorHAnsi"/>
        </w:rPr>
      </w:pPr>
    </w:p>
    <w:sectPr w:rsidR="00876E43" w:rsidRPr="00876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A2"/>
    <w:rsid w:val="00020FC4"/>
    <w:rsid w:val="00033174"/>
    <w:rsid w:val="00066DA0"/>
    <w:rsid w:val="000F2B1A"/>
    <w:rsid w:val="00356D28"/>
    <w:rsid w:val="00431B34"/>
    <w:rsid w:val="005D7F00"/>
    <w:rsid w:val="00622177"/>
    <w:rsid w:val="006B1984"/>
    <w:rsid w:val="006C1561"/>
    <w:rsid w:val="006E76A2"/>
    <w:rsid w:val="007E600E"/>
    <w:rsid w:val="0081353E"/>
    <w:rsid w:val="00876E43"/>
    <w:rsid w:val="00A00922"/>
    <w:rsid w:val="00A75D44"/>
    <w:rsid w:val="00A86BD9"/>
    <w:rsid w:val="00AA6328"/>
    <w:rsid w:val="00AE76D2"/>
    <w:rsid w:val="00B923AA"/>
    <w:rsid w:val="00C876B1"/>
    <w:rsid w:val="00D7569E"/>
    <w:rsid w:val="00DA557C"/>
    <w:rsid w:val="00E65575"/>
    <w:rsid w:val="00E6747D"/>
    <w:rsid w:val="00F35689"/>
    <w:rsid w:val="00FB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4DFF3"/>
  <w15:chartTrackingRefBased/>
  <w15:docId w15:val="{D1AF645C-395E-40DC-A489-5609E8A44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6A2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21">
    <w:name w:val="Font Style21"/>
    <w:basedOn w:val="Domylnaczcionkaakapitu"/>
    <w:uiPriority w:val="99"/>
    <w:rsid w:val="00C876B1"/>
    <w:rPr>
      <w:rFonts w:ascii="Arial" w:hAnsi="Arial" w:cs="Arial"/>
      <w:sz w:val="22"/>
      <w:szCs w:val="22"/>
    </w:rPr>
  </w:style>
  <w:style w:type="paragraph" w:customStyle="1" w:styleId="Style14">
    <w:name w:val="Style14"/>
    <w:basedOn w:val="Normalny"/>
    <w:uiPriority w:val="99"/>
    <w:rsid w:val="00876E43"/>
    <w:pPr>
      <w:widowControl w:val="0"/>
      <w:autoSpaceDE w:val="0"/>
      <w:autoSpaceDN w:val="0"/>
      <w:adjustRightInd w:val="0"/>
      <w:spacing w:after="0" w:line="380" w:lineRule="exact"/>
      <w:jc w:val="both"/>
    </w:pPr>
    <w:rPr>
      <w:rFonts w:ascii="Arial" w:eastAsiaTheme="minorEastAsia" w:hAnsi="Arial" w:cs="Arial"/>
    </w:rPr>
  </w:style>
  <w:style w:type="paragraph" w:customStyle="1" w:styleId="Style7">
    <w:name w:val="Style7"/>
    <w:basedOn w:val="Normalny"/>
    <w:uiPriority w:val="99"/>
    <w:rsid w:val="00356D28"/>
    <w:pPr>
      <w:widowControl w:val="0"/>
      <w:autoSpaceDE w:val="0"/>
      <w:autoSpaceDN w:val="0"/>
      <w:adjustRightInd w:val="0"/>
      <w:spacing w:after="0" w:line="386" w:lineRule="exact"/>
      <w:ind w:firstLine="710"/>
      <w:jc w:val="both"/>
    </w:pPr>
    <w:rPr>
      <w:rFonts w:ascii="Cambria" w:eastAsiaTheme="minorEastAsia" w:hAnsi="Cambria" w:cstheme="minorBidi"/>
    </w:rPr>
  </w:style>
  <w:style w:type="character" w:customStyle="1" w:styleId="FontStyle12">
    <w:name w:val="Font Style12"/>
    <w:basedOn w:val="Domylnaczcionkaakapitu"/>
    <w:uiPriority w:val="99"/>
    <w:rsid w:val="00356D28"/>
    <w:rPr>
      <w:rFonts w:ascii="Cambria" w:hAnsi="Cambria" w:cs="Cambria"/>
      <w:b/>
      <w:bCs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356D28"/>
    <w:rPr>
      <w:rFonts w:ascii="Cambria" w:hAnsi="Cambria" w:cs="Cambria"/>
      <w:sz w:val="20"/>
      <w:szCs w:val="20"/>
    </w:rPr>
  </w:style>
  <w:style w:type="character" w:customStyle="1" w:styleId="FontStyle14">
    <w:name w:val="Font Style14"/>
    <w:basedOn w:val="Domylnaczcionkaakapitu"/>
    <w:uiPriority w:val="99"/>
    <w:rsid w:val="00356D28"/>
    <w:rPr>
      <w:rFonts w:ascii="Cambria" w:hAnsi="Cambria" w:cs="Cambria"/>
      <w:i/>
      <w:i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B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1116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Piskorska-Wąsala Agnieszka  (DLPC)</cp:lastModifiedBy>
  <cp:revision>7</cp:revision>
  <dcterms:created xsi:type="dcterms:W3CDTF">2021-05-07T08:46:00Z</dcterms:created>
  <dcterms:modified xsi:type="dcterms:W3CDTF">2021-05-13T15:43:00Z</dcterms:modified>
</cp:coreProperties>
</file>